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R4-2118920</w:t>
      </w:r>
      <w:bookmarkStart w:id="16" w:name="_GoBack"/>
      <w:bookmarkEnd w:id="1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extended DRX enhancements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extended DRX related requirements for reduced capability UEs.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napToGrid w:val="0"/>
              <w:spacing w:before="180" w:after="120"/>
              <w:jc w:val="both"/>
              <w:rPr>
                <w:b/>
                <w:color w:val="0070C0"/>
                <w:u w:val="single"/>
                <w:lang w:eastAsia="ko-KR"/>
              </w:rPr>
            </w:pPr>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p>
          <w:p>
            <w:pPr>
              <w:rPr>
                <w:b/>
                <w:color w:val="0070C0"/>
                <w:u w:val="single"/>
                <w:lang w:eastAsia="ko-KR"/>
              </w:rPr>
            </w:pPr>
            <w:r>
              <w:rPr>
                <w:b/>
                <w:color w:val="0070C0"/>
                <w:u w:val="single"/>
                <w:lang w:eastAsia="ko-KR"/>
              </w:rPr>
              <w:t>Agreement:</w:t>
            </w:r>
          </w:p>
          <w:p>
            <w:pPr>
              <w:pStyle w:val="26"/>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pPr>
              <w:pStyle w:val="26"/>
              <w:numPr>
                <w:ilvl w:val="1"/>
                <w:numId w:val="6"/>
              </w:numPr>
              <w:overflowPunct/>
              <w:autoSpaceDE/>
              <w:autoSpaceDN/>
              <w:adjustRightInd/>
              <w:spacing w:after="120" w:line="252" w:lineRule="auto"/>
              <w:ind w:firstLineChars="0"/>
              <w:textAlignment w:val="auto"/>
              <w:rPr>
                <w:highlight w:val="green"/>
                <w:lang w:eastAsia="ja-JP"/>
              </w:rPr>
            </w:pPr>
            <w:r>
              <w:rPr>
                <w:bCs/>
                <w:highlight w:val="green"/>
              </w:rPr>
              <w:t>Define eDRX requirements for FR1</w:t>
            </w:r>
          </w:p>
          <w:p>
            <w:pPr>
              <w:pStyle w:val="26"/>
              <w:numPr>
                <w:ilvl w:val="1"/>
                <w:numId w:val="6"/>
              </w:numPr>
              <w:overflowPunct/>
              <w:autoSpaceDE/>
              <w:autoSpaceDN/>
              <w:adjustRightInd/>
              <w:spacing w:after="120" w:line="252" w:lineRule="auto"/>
              <w:ind w:firstLineChars="0"/>
              <w:textAlignment w:val="auto"/>
              <w:rPr>
                <w:highlight w:val="green"/>
                <w:lang w:eastAsia="ja-JP"/>
              </w:rPr>
            </w:pPr>
            <w:r>
              <w:rPr>
                <w:bCs/>
                <w:highlight w:val="green"/>
              </w:rPr>
              <w:t>FFS whether to define eDRX requirements for FR2</w:t>
            </w:r>
          </w:p>
          <w:p>
            <w:pPr>
              <w:rPr>
                <w:b/>
                <w:color w:val="0070C0"/>
                <w:u w:val="single"/>
                <w:lang w:eastAsia="ko-KR"/>
              </w:rPr>
            </w:pPr>
          </w:p>
          <w:p>
            <w:pPr>
              <w:snapToGrid w:val="0"/>
              <w:spacing w:before="180" w:after="120"/>
              <w:jc w:val="both"/>
              <w:rPr>
                <w:b/>
                <w:color w:val="0070C0"/>
                <w:u w:val="single"/>
                <w:lang w:eastAsia="ko-KR"/>
              </w:rPr>
            </w:pPr>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p>
          <w:p>
            <w:pPr>
              <w:rPr>
                <w:b/>
                <w:color w:val="0070C0"/>
                <w:u w:val="single"/>
                <w:lang w:eastAsia="ko-KR"/>
              </w:rPr>
            </w:pPr>
            <w:r>
              <w:rPr>
                <w:b/>
                <w:color w:val="0070C0"/>
                <w:u w:val="single"/>
                <w:lang w:eastAsia="ko-KR"/>
              </w:rPr>
              <w:t>Agreement:</w:t>
            </w:r>
          </w:p>
          <w:p>
            <w:pPr>
              <w:rPr>
                <w:color w:val="0070C0"/>
                <w:szCs w:val="24"/>
                <w:lang w:eastAsia="zh-CN"/>
              </w:rPr>
            </w:pPr>
            <w:r>
              <w:rPr>
                <w:color w:val="0070C0"/>
                <w:szCs w:val="24"/>
                <w:lang w:eastAsia="zh-CN"/>
              </w:rPr>
              <w:t>No agreement.</w:t>
            </w:r>
          </w:p>
          <w:p>
            <w:pPr>
              <w:rPr>
                <w:b/>
                <w:color w:val="0070C0"/>
                <w:u w:val="single"/>
                <w:lang w:eastAsia="ko-KR"/>
              </w:rPr>
            </w:pPr>
            <w:r>
              <w:rPr>
                <w:b/>
                <w:color w:val="0070C0"/>
                <w:u w:val="single"/>
                <w:lang w:eastAsia="ko-KR"/>
              </w:rPr>
              <w:t>Open issues:</w:t>
            </w:r>
          </w:p>
          <w:p>
            <w:pPr>
              <w:spacing w:after="120"/>
              <w:ind w:left="78"/>
              <w:rPr>
                <w:color w:val="0070C0"/>
                <w:szCs w:val="24"/>
                <w:lang w:eastAsia="zh-CN"/>
              </w:rPr>
            </w:pPr>
            <w:r>
              <w:rPr>
                <w:color w:val="0070C0"/>
                <w:szCs w:val="24"/>
                <w:lang w:eastAsia="zh-CN"/>
              </w:rPr>
              <w:t>Option 1: Yes (MTK Ericsson vivo)</w:t>
            </w:r>
          </w:p>
          <w:p>
            <w:pPr>
              <w:spacing w:after="120"/>
              <w:ind w:left="78"/>
              <w:rPr>
                <w:color w:val="0070C0"/>
                <w:szCs w:val="24"/>
                <w:lang w:eastAsia="zh-CN"/>
              </w:rPr>
            </w:pPr>
            <w:r>
              <w:rPr>
                <w:color w:val="0070C0"/>
                <w:szCs w:val="24"/>
                <w:lang w:eastAsia="zh-CN"/>
              </w:rPr>
              <w:t>Option 2: No</w:t>
            </w:r>
          </w:p>
          <w:p>
            <w:pPr>
              <w:pStyle w:val="26"/>
              <w:numPr>
                <w:ilvl w:val="0"/>
                <w:numId w:val="0"/>
              </w:numPr>
              <w:overflowPunct/>
              <w:autoSpaceDE/>
              <w:autoSpaceDN/>
              <w:adjustRightInd/>
              <w:spacing w:after="120"/>
              <w:jc w:val="both"/>
              <w:textAlignment w:val="auto"/>
              <w:rPr>
                <w:color w:val="0070C0"/>
                <w:szCs w:val="24"/>
                <w:lang w:eastAsia="zh-CN"/>
              </w:rPr>
            </w:pPr>
            <w:r>
              <w:rPr>
                <w:color w:val="0070C0"/>
                <w:szCs w:val="24"/>
                <w:lang w:eastAsia="zh-CN"/>
              </w:rPr>
              <w:t>Option 3: FFS (Apple ZTE OPPO ,Huawei, Xiaomi vivo)</w:t>
            </w:r>
          </w:p>
          <w:p>
            <w:pPr>
              <w:pStyle w:val="26"/>
              <w:numPr>
                <w:ilvl w:val="0"/>
                <w:numId w:val="0"/>
              </w:numPr>
              <w:overflowPunct/>
              <w:autoSpaceDE/>
              <w:autoSpaceDN/>
              <w:adjustRightInd/>
              <w:spacing w:after="120"/>
              <w:jc w:val="both"/>
              <w:textAlignment w:val="auto"/>
              <w:rPr>
                <w:color w:val="0070C0"/>
                <w:szCs w:val="24"/>
                <w:lang w:eastAsia="zh-CN"/>
              </w:rPr>
            </w:pPr>
          </w:p>
          <w:p>
            <w:pPr>
              <w:rPr>
                <w:b/>
                <w:color w:val="0070C0"/>
                <w:u w:val="single"/>
                <w:lang w:eastAsia="ko-KR"/>
              </w:rPr>
            </w:pPr>
            <w:r>
              <w:rPr>
                <w:b/>
                <w:color w:val="0070C0"/>
                <w:u w:val="single"/>
                <w:lang w:eastAsia="ko-KR"/>
              </w:rPr>
              <w:t>Issue 1-2-2: If the answer of issue 1-2-1 is Yes, then the concrete groups</w:t>
            </w:r>
          </w:p>
          <w:p>
            <w:pPr>
              <w:rPr>
                <w:b/>
                <w:color w:val="0070C0"/>
                <w:u w:val="single"/>
                <w:lang w:eastAsia="ko-KR"/>
              </w:rPr>
            </w:pPr>
            <w:r>
              <w:rPr>
                <w:b/>
                <w:color w:val="0070C0"/>
                <w:u w:val="single"/>
                <w:lang w:eastAsia="ko-KR"/>
              </w:rPr>
              <w:t>Agreement:</w:t>
            </w:r>
          </w:p>
          <w:p>
            <w:pPr>
              <w:pStyle w:val="26"/>
              <w:numPr>
                <w:ilvl w:val="0"/>
                <w:numId w:val="7"/>
              </w:numPr>
              <w:ind w:firstLineChars="0"/>
              <w:rPr>
                <w:b/>
                <w:color w:val="0070C0"/>
                <w:u w:val="single"/>
                <w:lang w:eastAsia="ko-KR"/>
              </w:rPr>
            </w:pPr>
            <w:r>
              <w:rPr>
                <w:color w:val="0070C0"/>
                <w:szCs w:val="24"/>
                <w:lang w:eastAsia="zh-CN"/>
              </w:rPr>
              <w:t>No.</w:t>
            </w:r>
          </w:p>
          <w:p>
            <w:pPr>
              <w:rPr>
                <w:b/>
                <w:color w:val="0070C0"/>
                <w:u w:val="single"/>
                <w:lang w:eastAsia="ko-KR"/>
              </w:rPr>
            </w:pPr>
            <w:r>
              <w:rPr>
                <w:b/>
                <w:color w:val="0070C0"/>
                <w:u w:val="single"/>
                <w:lang w:eastAsia="ko-KR"/>
              </w:rPr>
              <w:t>Open issues:</w:t>
            </w:r>
          </w:p>
          <w:p>
            <w:pPr>
              <w:pStyle w:val="2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Three</w:t>
            </w:r>
            <w:r>
              <w:rPr>
                <w:rFonts w:eastAsia="宋体"/>
                <w:color w:val="0070C0"/>
                <w:szCs w:val="24"/>
                <w:lang w:eastAsia="zh-CN"/>
              </w:rPr>
              <w:t xml:space="preserve"> groups</w:t>
            </w:r>
          </w:p>
          <w:p>
            <w:pPr>
              <w:pStyle w:val="2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value 2.56s/5.12s/10.24s;  2: 10.24s&lt;eDRX_cycle_length≤2621.44s; 3: 2621.44s&lt;eDRX_cycle_length≤10485.76s (xiaomi )</w:t>
            </w:r>
          </w:p>
          <w:p>
            <w:pPr>
              <w:pStyle w:val="2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Two groups</w:t>
            </w:r>
          </w:p>
          <w:p>
            <w:pPr>
              <w:pStyle w:val="2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cycle lengths up-to 10.24s  2: eDRX &gt; 10.24s  (QC ZTE OPPO MTK Huawei)</w:t>
            </w:r>
          </w:p>
          <w:p>
            <w:pPr>
              <w:pStyle w:val="2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FFS (Eric, Apple, vivo)</w:t>
            </w:r>
          </w:p>
          <w:p>
            <w:pPr>
              <w:pStyle w:val="26"/>
              <w:numPr>
                <w:ilvl w:val="0"/>
                <w:numId w:val="0"/>
              </w:numPr>
              <w:overflowPunct/>
              <w:autoSpaceDE/>
              <w:autoSpaceDN/>
              <w:adjustRightInd/>
              <w:spacing w:after="120"/>
              <w:jc w:val="both"/>
              <w:textAlignment w:val="auto"/>
              <w:rPr>
                <w:rFonts w:hint="eastAsia"/>
                <w:color w:val="0070C0"/>
                <w:szCs w:val="24"/>
                <w:lang w:val="en-US" w:eastAsia="zh-CN"/>
              </w:rPr>
            </w:pP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sz w:val="22"/>
          <w:szCs w:val="22"/>
          <w:lang w:val="en-US" w:eastAsia="zh-CN"/>
        </w:rPr>
      </w:pPr>
      <w:r>
        <w:rPr>
          <w:rFonts w:hint="eastAsia" w:eastAsia="宋体"/>
          <w:b/>
          <w:color w:val="000000" w:themeColor="text1"/>
          <w:u w:val="single"/>
          <w:lang w:val="en-US" w:eastAsia="zh-CN"/>
          <w14:textFill>
            <w14:solidFill>
              <w14:schemeClr w14:val="tx1"/>
            </w14:solidFill>
          </w14:textFill>
        </w:rPr>
        <w:t>eDRX for FR2</w:t>
      </w:r>
    </w:p>
    <w:p>
      <w:pPr>
        <w:rPr>
          <w:rFonts w:hint="default"/>
          <w:b w:val="0"/>
          <w:bCs/>
          <w:sz w:val="22"/>
          <w:szCs w:val="22"/>
          <w:lang w:val="en-US" w:eastAsia="zh-CN"/>
        </w:rPr>
      </w:pPr>
      <w:r>
        <w:rPr>
          <w:rFonts w:hint="eastAsia"/>
          <w:b w:val="0"/>
          <w:bCs/>
          <w:sz w:val="22"/>
          <w:szCs w:val="22"/>
          <w:lang w:val="en-US" w:eastAsia="zh-CN"/>
        </w:rPr>
        <w:t xml:space="preserve">For this issue we suggest to start  investigating it when the requirements for FR1 have been completed and can be used as baseline. In FR2 essentially there will be multiple samples and across multiple PTWs. From standard perspective we can define related requirements for FR2, though we think use cases in FR1 might be more popular. </w:t>
      </w:r>
    </w:p>
    <w:p>
      <w:pPr>
        <w:pStyle w:val="36"/>
        <w:rPr>
          <w:rFonts w:hint="default"/>
          <w:b w:val="0"/>
          <w:bCs/>
          <w:sz w:val="22"/>
          <w:szCs w:val="22"/>
          <w:lang w:val="en-US" w:eastAsia="zh-CN"/>
        </w:rPr>
      </w:pPr>
      <w:r>
        <w:rPr>
          <w:rFonts w:hint="eastAsia"/>
          <w:b/>
          <w:bCs w:val="0"/>
          <w:sz w:val="22"/>
          <w:szCs w:val="22"/>
          <w:lang w:val="en-US" w:eastAsia="zh-CN"/>
        </w:rPr>
        <w:t>Start  investigating eDRX for FR2 when the requirements for FR1 have been completed.</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Issue 1-1-3:  Whether have the eDRX requirements for FR1 and FR2 on separate tables.</w:t>
      </w:r>
    </w:p>
    <w:p>
      <w:pPr>
        <w:rPr>
          <w:rFonts w:hint="default"/>
          <w:b w:val="0"/>
          <w:bCs/>
          <w:sz w:val="22"/>
          <w:szCs w:val="22"/>
          <w:lang w:val="en-US" w:eastAsia="zh-CN"/>
        </w:rPr>
      </w:pPr>
      <w:r>
        <w:rPr>
          <w:rFonts w:hint="eastAsia"/>
          <w:b w:val="0"/>
          <w:bCs/>
          <w:sz w:val="22"/>
          <w:szCs w:val="22"/>
          <w:lang w:val="en-US" w:eastAsia="zh-CN"/>
        </w:rPr>
        <w:t xml:space="preserve">We think that this issue is not that technical since as long as the tables are clear and easy to read, it would be feasible. After looking at some existing tables in TS 38.133, some of them are separated to 2 tables for FR1 and FR2 while some of them contain both frequency ranges. This issue can be FFS and we can focus on technical issues first. </w:t>
      </w:r>
    </w:p>
    <w:p>
      <w:pPr>
        <w:pStyle w:val="36"/>
        <w:rPr>
          <w:rFonts w:hint="default"/>
          <w:b w:val="0"/>
          <w:bCs/>
          <w:sz w:val="22"/>
          <w:szCs w:val="22"/>
          <w:lang w:val="en-US" w:eastAsia="zh-CN"/>
        </w:rPr>
      </w:pPr>
      <w:r>
        <w:rPr>
          <w:rFonts w:hint="eastAsia" w:eastAsia="宋体"/>
          <w:b/>
          <w:color w:val="000000" w:themeColor="text1"/>
          <w:u w:val="none"/>
          <w:lang w:val="en-US" w:eastAsia="zh-CN"/>
          <w14:textFill>
            <w14:solidFill>
              <w14:schemeClr w14:val="tx1"/>
            </w14:solidFill>
          </w14:textFill>
        </w:rPr>
        <w:t>FFS w</w:t>
      </w:r>
      <w:r>
        <w:rPr>
          <w:rFonts w:hint="eastAsia"/>
          <w:b/>
          <w:color w:val="000000" w:themeColor="text1"/>
          <w:u w:val="none"/>
          <w:lang w:eastAsia="ko-KR"/>
          <w14:textFill>
            <w14:solidFill>
              <w14:schemeClr w14:val="tx1"/>
            </w14:solidFill>
          </w14:textFill>
        </w:rPr>
        <w:t>hether have the eDRX requirements for FR1 and FR2 on separate tables</w:t>
      </w:r>
      <w:r>
        <w:rPr>
          <w:rFonts w:hint="eastAsia"/>
          <w:b/>
          <w:bCs w:val="0"/>
          <w:sz w:val="22"/>
          <w:szCs w:val="22"/>
          <w:lang w:val="en-US" w:eastAsia="zh-CN"/>
        </w:rPr>
        <w:t>.</w:t>
      </w:r>
    </w:p>
    <w:p>
      <w:pPr>
        <w:rPr>
          <w:rFonts w:hint="default"/>
          <w:lang w:val="en-US" w:eastAsia="zh-CN"/>
        </w:rPr>
      </w:pPr>
    </w:p>
    <w:p>
      <w:pPr>
        <w:rPr>
          <w:b/>
          <w:color w:val="0070C0"/>
          <w:u w:val="single"/>
          <w:lang w:eastAsia="ko-KR"/>
        </w:rPr>
      </w:pPr>
      <w:r>
        <w:rPr>
          <w:b/>
          <w:color w:val="0070C0"/>
          <w:u w:val="single"/>
          <w:lang w:eastAsia="ko-KR"/>
        </w:rPr>
        <w:t>Issue 1-2-2: If the answer of issue 1-2-1 is Yes, then the concrete groups</w:t>
      </w:r>
    </w:p>
    <w:p>
      <w:pPr>
        <w:rPr>
          <w:rFonts w:hint="default"/>
          <w:b w:val="0"/>
          <w:bCs/>
          <w:sz w:val="22"/>
          <w:szCs w:val="22"/>
          <w:lang w:val="en-US" w:eastAsia="zh-CN"/>
        </w:rPr>
      </w:pPr>
      <w:r>
        <w:rPr>
          <w:rFonts w:hint="eastAsia"/>
          <w:b w:val="0"/>
          <w:bCs/>
          <w:sz w:val="22"/>
          <w:szCs w:val="22"/>
          <w:lang w:val="en-US" w:eastAsia="zh-CN"/>
        </w:rPr>
        <w:t>eDRX has been agreed to be supported for RedCap UEs by RAN2. In the TR 38.875 [2], eDRX is introduced with a reference to LTE systems.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bookmarkStart w:id="4" w:name="_Toc51771082"/>
            <w:bookmarkStart w:id="5" w:name="_Toc57127669"/>
            <w:bookmarkStart w:id="6" w:name="_Toc56714334"/>
            <w:bookmarkStart w:id="7" w:name="_Toc57136478"/>
            <w:bookmarkStart w:id="8" w:name="_Toc65758089"/>
            <w:bookmarkStart w:id="9" w:name="_Toc51768575"/>
            <w:bookmarkStart w:id="10" w:name="_Toc57144828"/>
            <w:bookmarkStart w:id="11" w:name="_Toc57126722"/>
            <w:bookmarkStart w:id="12" w:name="_Toc57126601"/>
            <w:bookmarkStart w:id="13" w:name="_Toc57127778"/>
            <w:r>
              <w:t>8.3</w:t>
            </w:r>
            <w:r>
              <w:tab/>
            </w:r>
            <w:r>
              <w:t>Extended DRX for RRC Inactive and/or Idle</w:t>
            </w:r>
            <w:bookmarkEnd w:id="4"/>
            <w:bookmarkEnd w:id="5"/>
            <w:bookmarkEnd w:id="6"/>
            <w:bookmarkEnd w:id="7"/>
            <w:bookmarkEnd w:id="8"/>
            <w:bookmarkEnd w:id="9"/>
            <w:bookmarkEnd w:id="10"/>
            <w:bookmarkEnd w:id="11"/>
            <w:bookmarkEnd w:id="12"/>
            <w:bookmarkEnd w:id="13"/>
          </w:p>
          <w:p>
            <w:pPr>
              <w:pStyle w:val="4"/>
            </w:pPr>
            <w:bookmarkStart w:id="14" w:name="_Toc65758090"/>
            <w:bookmarkStart w:id="15" w:name="_Toc56764060"/>
            <w:r>
              <w:t>8.3.1</w:t>
            </w:r>
            <w:r>
              <w:tab/>
            </w:r>
            <w:r>
              <w:t>Description of feature</w:t>
            </w:r>
            <w:bookmarkEnd w:id="14"/>
            <w:bookmarkEnd w:id="15"/>
          </w:p>
          <w:p>
            <w:r>
              <w:t>In LTE connected to EPC, the UE may be configured with an extended DRX (eDRX) cycle. The UE may operate in eDRX only if the UE is configured by NAS and the cell indicates support for eDRX in System Information (note that there is no System Information indication for NB-IoT). In RRC_IDLE, the eDRX cycle has the maximum value of 2621.44 seconds (43.69 minutes). For NB-IoT the maximum value of eDRX cycle is 10485.76 seconds (2.91 hours). Hyper SFN (H-SFN) is broadcasted in System Information and incremented by one when SFN wraps around. The Paging Hyperframe (PH) refers to the H-SFN in which the UE starts to monitor for paging during a Paging Time Window (PTW), see e.g. [12].</w:t>
            </w:r>
          </w:p>
          <w:p>
            <w:r>
              <w:t>RAN2 has studied the following topics related to extended DRX for RRC_IDLE and RRC_INACTIVE:</w:t>
            </w:r>
          </w:p>
          <w:p>
            <w:pPr>
              <w:pStyle w:val="66"/>
            </w:pPr>
            <w:r>
              <w:t>-</w:t>
            </w:r>
            <w:r>
              <w:tab/>
            </w:r>
            <w:r>
              <w:t>Analysis of UE power saving</w:t>
            </w:r>
          </w:p>
          <w:p>
            <w:pPr>
              <w:pStyle w:val="66"/>
            </w:pPr>
            <w:r>
              <w:t>-</w:t>
            </w:r>
            <w:r>
              <w:tab/>
            </w:r>
            <w:r>
              <w:t>Analysis of upper and lower bound of extended DRX cycles</w:t>
            </w:r>
          </w:p>
          <w:p>
            <w:pPr>
              <w:rPr>
                <w:rFonts w:hint="default"/>
                <w:b w:val="0"/>
                <w:bCs/>
                <w:sz w:val="22"/>
                <w:szCs w:val="22"/>
                <w:vertAlign w:val="baseline"/>
                <w:lang w:val="en-US" w:eastAsia="zh-CN"/>
              </w:rPr>
            </w:pPr>
            <w:r>
              <w:t>-</w:t>
            </w:r>
            <w:r>
              <w:tab/>
            </w:r>
            <w:r>
              <w:t>Analysis of mechanisms for extended DRX</w:t>
            </w:r>
          </w:p>
        </w:tc>
      </w:tr>
    </w:tbl>
    <w:p>
      <w:pPr>
        <w:rPr>
          <w:rFonts w:hint="default"/>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In TS 36.133 [3], there is already support for such eDRX as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eastAsia"/>
                <w:b w:val="0"/>
                <w:bCs/>
                <w:sz w:val="22"/>
                <w:szCs w:val="22"/>
                <w:vertAlign w:val="baseline"/>
                <w:lang w:val="en-US" w:eastAsia="zh-CN"/>
              </w:rPr>
            </w:pPr>
            <w:r>
              <w:drawing>
                <wp:inline distT="0" distB="0" distL="114300" distR="114300">
                  <wp:extent cx="5183505" cy="2087245"/>
                  <wp:effectExtent l="0" t="0" r="171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183505" cy="2087245"/>
                          </a:xfrm>
                          <a:prstGeom prst="rect">
                            <a:avLst/>
                          </a:prstGeom>
                          <a:noFill/>
                          <a:ln>
                            <a:noFill/>
                          </a:ln>
                        </pic:spPr>
                      </pic:pic>
                    </a:graphicData>
                  </a:graphic>
                </wp:inline>
              </w:drawing>
            </w:r>
          </w:p>
        </w:tc>
      </w:tr>
    </w:tbl>
    <w:p>
      <w:pPr>
        <w:rPr>
          <w:rFonts w:hint="default" w:eastAsia="宋体"/>
          <w:color w:val="0070C0"/>
          <w:szCs w:val="24"/>
          <w:lang w:val="en-US" w:eastAsia="zh-CN"/>
        </w:rPr>
      </w:pPr>
      <w:r>
        <w:rPr>
          <w:rFonts w:hint="eastAsia"/>
          <w:b w:val="0"/>
          <w:bCs/>
          <w:sz w:val="22"/>
          <w:szCs w:val="22"/>
          <w:lang w:val="en-US" w:eastAsia="zh-CN"/>
        </w:rPr>
        <w:t>We think that having two groups of eDRX should be enough, one for eDRX &lt; 10.24s and one for eDRX &gt; 10.24s. Or else there might be too many combinations and the table would be complicated. Since eDRX is also configured by the network, in reality the network may not configure that many values so having a simple table is enough.</w:t>
      </w:r>
    </w:p>
    <w:p>
      <w:pPr>
        <w:pStyle w:val="36"/>
        <w:rPr>
          <w:rFonts w:hint="default" w:eastAsia="宋体"/>
          <w:color w:val="0070C0"/>
          <w:szCs w:val="24"/>
          <w:lang w:val="en-US" w:eastAsia="zh-CN"/>
        </w:rPr>
      </w:pPr>
      <w:r>
        <w:rPr>
          <w:rFonts w:hint="eastAsia"/>
          <w:b/>
          <w:bCs w:val="0"/>
          <w:sz w:val="22"/>
          <w:szCs w:val="22"/>
          <w:lang w:val="en-US" w:eastAsia="zh-CN"/>
        </w:rPr>
        <w:t>Have two groups of eDRX, one for eDRX &lt; 10.24s and one for eDRX &gt; 10.24s.</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Proposal 1: Start  investigating eDRX for FR2 when the requirements for FR1 have been completed.</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color w:val="000000" w:themeColor="text1"/>
          <w:u w:val="none"/>
          <w:lang w:val="en-US" w:eastAsia="zh-CN"/>
          <w14:textFill>
            <w14:solidFill>
              <w14:schemeClr w14:val="tx1"/>
            </w14:solidFill>
          </w14:textFill>
        </w:rPr>
        <w:t>FFS w</w:t>
      </w:r>
      <w:r>
        <w:rPr>
          <w:rFonts w:hint="eastAsia"/>
          <w:b/>
          <w:color w:val="000000" w:themeColor="text1"/>
          <w:u w:val="none"/>
          <w:lang w:eastAsia="ko-KR"/>
          <w14:textFill>
            <w14:solidFill>
              <w14:schemeClr w14:val="tx1"/>
            </w14:solidFill>
          </w14:textFill>
        </w:rPr>
        <w:t>hether have the eDRX requirements for FR1 and FR2 on separate tables</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3: Have two groups of eDRX, one for eDRX &lt; 10.24s and one for eDRX &gt; 10.24s.</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R4-2115364</w:t>
      </w:r>
    </w:p>
    <w:p>
      <w:pPr>
        <w:numPr>
          <w:ilvl w:val="0"/>
          <w:numId w:val="9"/>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b w:val="0"/>
          <w:bCs/>
          <w:sz w:val="22"/>
          <w:szCs w:val="22"/>
          <w:lang w:val="en-US" w:eastAsia="zh-CN"/>
        </w:rPr>
        <w:t>TR 38.875</w:t>
      </w:r>
    </w:p>
    <w:p>
      <w:pPr>
        <w:numPr>
          <w:ilvl w:val="0"/>
          <w:numId w:val="9"/>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b w:val="0"/>
          <w:bCs/>
          <w:sz w:val="22"/>
          <w:szCs w:val="22"/>
          <w:lang w:val="en-US" w:eastAsia="zh-CN"/>
        </w:rPr>
        <w:t>TS 36.133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44544E6"/>
    <w:multiLevelType w:val="multilevel"/>
    <w:tmpl w:val="744544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6"/>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970B7B"/>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EE7054E"/>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2672D5"/>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A71C0A"/>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5E5FA5"/>
    <w:rsid w:val="5FA5608D"/>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